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LIVING WAGE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values its staff, and wants them to be able to participate in society by paying them a living wage as determined by the organization, at minimum. The purpose of this policy is to outline steps &lt;Organization Name&gt; will take to support this goal.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Name&gt;: organization wishes to become a certified living wage employer as defined by the organization. This means we are committed to raising the price floor of employee salaries in line with the living wage.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changes in the wages are not connected to the performance of employees, but rather adjustments that will be made uniformly to ensure all employees receive a living wage.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accordance with the Living Wage Rates of Ontario, eligible employees of &lt;Organization Name&gt; are to see changes in their salaries effective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]. Wage adjustments will be made as follows: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&lt;Organization Name&gt; employees whose salaries are at the bottom are eligible for the new wage rates. The changes will depend on the position of the employee in the company.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employee whose salary is at the top of the salary range may not be given a raise that would cause the base salary to exceed the top of the range for that position.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proposed salary amendments are subject to HR approval.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Increases will be capped at the maximum of the pay range and are subject to management review and approval, as well as the department budget and Human Resources.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have questions regarding this policy, are asked to bring them forward to management.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139112</wp:posOffset>
          </wp:positionV>
          <wp:extent cx="2160000" cy="54063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80178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1780"/>
  </w:style>
  <w:style w:type="paragraph" w:styleId="Footer">
    <w:name w:val="footer"/>
    <w:basedOn w:val="Normal"/>
    <w:link w:val="FooterChar"/>
    <w:uiPriority w:val="99"/>
    <w:unhideWhenUsed w:val="1"/>
    <w:rsid w:val="0080178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178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e+EyKoHPif9VO9/HH3nvU5qkgw==">CgMxLjA4AHIhMS1NQmV5eXlseDZtWmlYZXN3dmlTVnVUMnRZR09GUWF0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2022-07-27T21:08:00Z</dcterms:created>
  <dc:creator>Kimmay</dc:creator>
</cp:coreProperties>
</file>